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8"/>
        </w:rPr>
        <w:t>Talent Show Entry and Running Order Form</w:t>
      </w:r>
    </w:p>
    <w:p>
      <w:pPr>
        <w:spacing w:after="100"/>
      </w:pPr>
      <w:r>
        <w:rPr>
          <w:b w:val="0"/>
          <w:sz w:val="20"/>
        </w:rPr>
        <w:t>Collect an act description and production needs for a community talent show.</w:t>
      </w:r>
    </w:p>
    <w:p>
      <w:pPr>
        <w:pStyle w:val="Heading1"/>
        <w:spacing w:after="100"/>
      </w:pPr>
      <w:r>
        <w:rPr>
          <w:b/>
          <w:color w:val="674E65"/>
          <w:sz w:val="24"/>
        </w:rPr>
        <w:t>Entry details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Act name performer and contact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Category number of performers and duration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674E65"/>
          <w:sz w:val="24"/>
        </w:rPr>
        <w:t>Stage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Music file and cue reference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Microphones props and setup needs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674E65"/>
          <w:sz w:val="24"/>
        </w:rPr>
        <w:t>Event administration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Arrival time and rehearsal slot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Guardian or group contact when needed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674E65"/>
          <w:sz w:val="24"/>
        </w:rPr>
        <w:t>Running order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Slot introduction and stage notes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Checked by and final confirmation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Georgia" w:hAnsi="Georg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Talent Show Entry and Running Order Form</dc:title>
  <dc:subject>Collect an act description and production needs for a community talent show.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